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502D9" w14:textId="3E25A70F" w:rsidR="00965341" w:rsidRPr="00FA2AC5" w:rsidRDefault="00965341" w:rsidP="00965341">
      <w:pPr>
        <w:pBdr>
          <w:bottom w:val="single" w:sz="4" w:space="1" w:color="auto"/>
        </w:pBdr>
        <w:jc w:val="center"/>
        <w:rPr>
          <w:b/>
          <w:bCs/>
          <w:u w:val="single"/>
        </w:rPr>
      </w:pPr>
      <w:r w:rsidRPr="00FA2AC5">
        <w:rPr>
          <w:b/>
          <w:bCs/>
          <w:sz w:val="28"/>
          <w:szCs w:val="28"/>
        </w:rPr>
        <w:t>QUESTIONS AND CONCERNS:</w:t>
      </w:r>
      <w:r w:rsidRPr="00FA2AC5">
        <w:rPr>
          <w:color w:val="2F5496" w:themeColor="accent1" w:themeShade="BF"/>
          <w:sz w:val="28"/>
          <w:szCs w:val="28"/>
        </w:rPr>
        <w:br/>
      </w:r>
      <w:r w:rsidRPr="00FF2BFF">
        <w:rPr>
          <w:color w:val="2F5496" w:themeColor="accent1" w:themeShade="BF"/>
          <w:sz w:val="32"/>
          <w:szCs w:val="32"/>
        </w:rPr>
        <w:t>ROYAL PUBLIC SCHOOLS CHARTER APPLICATION IN SAN ANTONIO</w:t>
      </w:r>
      <w:r w:rsidRPr="00FF2BFF">
        <w:rPr>
          <w:color w:val="2F5496" w:themeColor="accent1" w:themeShade="BF"/>
          <w:sz w:val="24"/>
          <w:szCs w:val="24"/>
        </w:rPr>
        <w:br/>
      </w:r>
      <w:r>
        <w:rPr>
          <w:color w:val="2F5496" w:themeColor="accent1" w:themeShade="BF"/>
          <w:sz w:val="24"/>
          <w:szCs w:val="24"/>
        </w:rPr>
        <w:t xml:space="preserve">SEPTEMBER </w:t>
      </w:r>
      <w:r w:rsidR="009A3528">
        <w:rPr>
          <w:color w:val="2F5496" w:themeColor="accent1" w:themeShade="BF"/>
          <w:sz w:val="24"/>
          <w:szCs w:val="24"/>
        </w:rPr>
        <w:t>5</w:t>
      </w:r>
      <w:r>
        <w:rPr>
          <w:color w:val="2F5496" w:themeColor="accent1" w:themeShade="BF"/>
          <w:sz w:val="24"/>
          <w:szCs w:val="24"/>
        </w:rPr>
        <w:t>, 20</w:t>
      </w:r>
      <w:r w:rsidRPr="004D7A00">
        <w:rPr>
          <w:color w:val="2F5496" w:themeColor="accent1" w:themeShade="BF"/>
          <w:sz w:val="24"/>
          <w:szCs w:val="24"/>
        </w:rPr>
        <w:t>2</w:t>
      </w:r>
      <w:r>
        <w:rPr>
          <w:color w:val="2F5496" w:themeColor="accent1" w:themeShade="BF"/>
          <w:sz w:val="24"/>
          <w:szCs w:val="24"/>
        </w:rPr>
        <w:t>0</w:t>
      </w:r>
      <w:r w:rsidR="00101E72">
        <w:rPr>
          <w:color w:val="2F5496" w:themeColor="accent1" w:themeShade="BF"/>
          <w:sz w:val="24"/>
          <w:szCs w:val="24"/>
        </w:rPr>
        <w:t xml:space="preserve"> </w:t>
      </w:r>
    </w:p>
    <w:p w14:paraId="08FF3B86" w14:textId="1554B06C" w:rsidR="00106D5C" w:rsidRDefault="00965341" w:rsidP="00106D5C">
      <w:r w:rsidRPr="00D97CDA">
        <w:rPr>
          <w:b/>
          <w:bCs/>
          <w:color w:val="2F5496" w:themeColor="accent1" w:themeShade="BF"/>
          <w:u w:val="single"/>
        </w:rPr>
        <w:t>Overview</w:t>
      </w:r>
      <w:r w:rsidRPr="00FA2AC5">
        <w:rPr>
          <w:b/>
          <w:bCs/>
          <w:u w:val="single"/>
        </w:rPr>
        <w:t>:</w:t>
      </w:r>
      <w:r w:rsidRPr="00FA2AC5">
        <w:rPr>
          <w:b/>
          <w:bCs/>
        </w:rPr>
        <w:t xml:space="preserve">  </w:t>
      </w:r>
      <w:r w:rsidRPr="00965341">
        <w:rPr>
          <w:u w:val="single"/>
        </w:rPr>
        <w:t>Royal Public Schools</w:t>
      </w:r>
      <w:r w:rsidRPr="00986678">
        <w:t xml:space="preserve"> proposes to open four new campuses in south and central San Antonio </w:t>
      </w:r>
      <w:r w:rsidR="00754300">
        <w:t xml:space="preserve">initially </w:t>
      </w:r>
      <w:r w:rsidRPr="00986678">
        <w:t xml:space="preserve">targeting Harlandale, Southside, </w:t>
      </w:r>
      <w:r w:rsidR="00676D2F">
        <w:t xml:space="preserve">Southwest, </w:t>
      </w:r>
      <w:r w:rsidRPr="00986678">
        <w:t xml:space="preserve">and South San Antonio ISDs but including </w:t>
      </w:r>
      <w:r w:rsidR="00106D5C">
        <w:t>a total of 2</w:t>
      </w:r>
      <w:r w:rsidRPr="00986678">
        <w:t xml:space="preserve">3 districts in the geographic boundary. The campuses will include two elementary schools, one middle school, and one high school, with a maximum enrollment of 2,328 students.  </w:t>
      </w:r>
    </w:p>
    <w:p w14:paraId="1F61D38D" w14:textId="77777777" w:rsidR="00754300" w:rsidRDefault="00965341" w:rsidP="00740B32">
      <w:pPr>
        <w:rPr>
          <w:color w:val="000000" w:themeColor="text1"/>
        </w:rPr>
      </w:pPr>
      <w:r>
        <w:rPr>
          <w:b/>
          <w:bCs/>
          <w:color w:val="2F5496" w:themeColor="accent1" w:themeShade="BF"/>
          <w:u w:val="single"/>
        </w:rPr>
        <w:t>Revenue loss for public school districts</w:t>
      </w:r>
      <w:r>
        <w:rPr>
          <w:b/>
          <w:bCs/>
          <w:u w:val="single"/>
        </w:rPr>
        <w:t>:</w:t>
      </w:r>
      <w:r>
        <w:t xml:space="preserve">  </w:t>
      </w:r>
      <w:r w:rsidR="00F97FC3">
        <w:rPr>
          <w:color w:val="000000" w:themeColor="text1"/>
        </w:rPr>
        <w:t xml:space="preserve">At a minimum, south and central San Antonio public school districts will lose an estimate of up to </w:t>
      </w:r>
      <w:r w:rsidR="00F97FC3" w:rsidRPr="00054515">
        <w:rPr>
          <w:b/>
          <w:bCs/>
          <w:color w:val="000000" w:themeColor="text1"/>
        </w:rPr>
        <w:t>$23 million</w:t>
      </w:r>
      <w:r w:rsidR="00F97FC3">
        <w:rPr>
          <w:color w:val="000000" w:themeColor="text1"/>
        </w:rPr>
        <w:t xml:space="preserve"> in revenue annually once Royal is at maximum enrollment capacity.  Over </w:t>
      </w:r>
      <w:r w:rsidR="00415149">
        <w:rPr>
          <w:color w:val="000000" w:themeColor="text1"/>
        </w:rPr>
        <w:t xml:space="preserve">the first </w:t>
      </w:r>
      <w:r w:rsidR="00F97FC3">
        <w:rPr>
          <w:color w:val="000000" w:themeColor="text1"/>
        </w:rPr>
        <w:t xml:space="preserve">ten years, these San Antonio districts would lose an estimate of up to </w:t>
      </w:r>
      <w:r w:rsidR="00676D2F">
        <w:rPr>
          <w:color w:val="000000" w:themeColor="text1"/>
        </w:rPr>
        <w:br/>
      </w:r>
      <w:r w:rsidR="00F97FC3" w:rsidRPr="00054515">
        <w:rPr>
          <w:b/>
          <w:bCs/>
          <w:color w:val="000000" w:themeColor="text1"/>
        </w:rPr>
        <w:t>$162 million</w:t>
      </w:r>
      <w:r w:rsidR="00F97FC3">
        <w:rPr>
          <w:color w:val="000000" w:themeColor="text1"/>
        </w:rPr>
        <w:t xml:space="preserve"> in revenue (</w:t>
      </w:r>
      <w:r w:rsidR="00F97FC3" w:rsidRPr="00AD40CB">
        <w:rPr>
          <w:i/>
          <w:iCs/>
          <w:color w:val="000000" w:themeColor="text1"/>
        </w:rPr>
        <w:t>based on average estimated per student revenue loss</w:t>
      </w:r>
      <w:r w:rsidR="00F97FC3">
        <w:rPr>
          <w:color w:val="000000" w:themeColor="text1"/>
        </w:rPr>
        <w:t>).</w:t>
      </w:r>
    </w:p>
    <w:p w14:paraId="06FD9A20" w14:textId="77777777" w:rsidR="00754300" w:rsidRDefault="00754300" w:rsidP="00754300">
      <w:r>
        <w:rPr>
          <w:b/>
          <w:bCs/>
          <w:color w:val="2F5496" w:themeColor="accent1" w:themeShade="BF"/>
          <w:u w:val="single"/>
        </w:rPr>
        <w:t>Fiscal cost to the state</w:t>
      </w:r>
      <w:r>
        <w:rPr>
          <w:b/>
          <w:bCs/>
          <w:u w:val="single"/>
        </w:rPr>
        <w:t>:</w:t>
      </w:r>
      <w:r>
        <w:t xml:space="preserve">  Because of the Charter Funding Advantage giving charter schools a larger entitlement than most school districts, Royal Public Schools will cost the state an </w:t>
      </w:r>
      <w:r w:rsidRPr="00754300">
        <w:rPr>
          <w:u w:val="single"/>
        </w:rPr>
        <w:t>additional</w:t>
      </w:r>
      <w:r w:rsidRPr="00754300">
        <w:t xml:space="preserve"> </w:t>
      </w:r>
      <w:r>
        <w:rPr>
          <w:b/>
          <w:bCs/>
        </w:rPr>
        <w:t xml:space="preserve">$4,121,582 </w:t>
      </w:r>
      <w:r>
        <w:t xml:space="preserve">in its first five years and </w:t>
      </w:r>
      <w:r>
        <w:rPr>
          <w:b/>
          <w:bCs/>
        </w:rPr>
        <w:t>$14,122,670</w:t>
      </w:r>
      <w:r>
        <w:t xml:space="preserve"> in its first ten years over the cost of enrollment of the same students in Southside ISD, Harlandale ISD, Southwest ISD, and South San Antonio ISD.</w:t>
      </w:r>
    </w:p>
    <w:p w14:paraId="1244BE21" w14:textId="55B709BC" w:rsidR="00740B32" w:rsidRDefault="00965341" w:rsidP="00740B32">
      <w:r w:rsidRPr="00795018">
        <w:rPr>
          <w:b/>
          <w:bCs/>
          <w:color w:val="000000" w:themeColor="text1"/>
          <w:u w:val="single"/>
        </w:rPr>
        <w:t>QUESTIONS AND CONCERNS</w:t>
      </w:r>
    </w:p>
    <w:p w14:paraId="6A779C18" w14:textId="67453B60" w:rsidR="00AC56F7" w:rsidRPr="00740B32" w:rsidRDefault="00740B32" w:rsidP="00965341">
      <w:pPr>
        <w:rPr>
          <w:b/>
          <w:bCs/>
        </w:rPr>
      </w:pPr>
      <w:r w:rsidRPr="008748CC">
        <w:rPr>
          <w:b/>
          <w:bCs/>
          <w:color w:val="2F5496" w:themeColor="accent1" w:themeShade="BF"/>
          <w:u w:val="single"/>
        </w:rPr>
        <w:t xml:space="preserve">A </w:t>
      </w:r>
      <w:r w:rsidR="005B68F9" w:rsidRPr="008748CC">
        <w:rPr>
          <w:b/>
          <w:bCs/>
          <w:color w:val="2F5496" w:themeColor="accent1" w:themeShade="BF"/>
          <w:u w:val="single"/>
        </w:rPr>
        <w:t xml:space="preserve">poor </w:t>
      </w:r>
      <w:r w:rsidRPr="008748CC">
        <w:rPr>
          <w:b/>
          <w:bCs/>
          <w:color w:val="2F5496" w:themeColor="accent1" w:themeShade="BF"/>
          <w:u w:val="single"/>
        </w:rPr>
        <w:t xml:space="preserve">record of </w:t>
      </w:r>
      <w:r w:rsidR="002D2C62" w:rsidRPr="008748CC">
        <w:rPr>
          <w:b/>
          <w:bCs/>
          <w:color w:val="2F5496" w:themeColor="accent1" w:themeShade="BF"/>
          <w:u w:val="single"/>
        </w:rPr>
        <w:t>diversity</w:t>
      </w:r>
      <w:r w:rsidR="00965341" w:rsidRPr="008748CC">
        <w:rPr>
          <w:b/>
          <w:bCs/>
          <w:color w:val="2F5496" w:themeColor="accent1" w:themeShade="BF"/>
          <w:u w:val="single"/>
        </w:rPr>
        <w:t xml:space="preserve"> </w:t>
      </w:r>
      <w:r w:rsidR="005B68F9" w:rsidRPr="008748CC">
        <w:rPr>
          <w:b/>
          <w:bCs/>
          <w:color w:val="2F5496" w:themeColor="accent1" w:themeShade="BF"/>
          <w:u w:val="single"/>
        </w:rPr>
        <w:t>in</w:t>
      </w:r>
      <w:r w:rsidR="00965341" w:rsidRPr="008748CC">
        <w:rPr>
          <w:b/>
          <w:bCs/>
          <w:color w:val="2F5496" w:themeColor="accent1" w:themeShade="BF"/>
          <w:u w:val="single"/>
        </w:rPr>
        <w:t xml:space="preserve"> top leadership positions</w:t>
      </w:r>
      <w:r w:rsidR="00986678" w:rsidRPr="008748CC">
        <w:rPr>
          <w:b/>
          <w:bCs/>
          <w:color w:val="2F5496" w:themeColor="accent1" w:themeShade="BF"/>
          <w:u w:val="single"/>
        </w:rPr>
        <w:t>.</w:t>
      </w:r>
      <w:r w:rsidR="00965341" w:rsidRPr="008748CC">
        <w:rPr>
          <w:b/>
          <w:bCs/>
          <w:color w:val="2F5496" w:themeColor="accent1" w:themeShade="BF"/>
        </w:rPr>
        <w:t xml:space="preserve">  </w:t>
      </w:r>
      <w:r w:rsidR="002D2C62" w:rsidRPr="00F11201">
        <w:t xml:space="preserve">In his 17 years as the Superintendent/CEO of Harmony Public Schools in Texas, </w:t>
      </w:r>
      <w:r w:rsidR="00F53448">
        <w:t>Royal</w:t>
      </w:r>
      <w:r w:rsidR="00965341">
        <w:t xml:space="preserve">’s </w:t>
      </w:r>
      <w:r w:rsidR="00F53448">
        <w:t xml:space="preserve">CEO </w:t>
      </w:r>
      <w:r w:rsidR="002D2C62" w:rsidRPr="00F11201">
        <w:t>Soner</w:t>
      </w:r>
      <w:r w:rsidR="002D417F">
        <w:t xml:space="preserve"> </w:t>
      </w:r>
      <w:r w:rsidR="002D2C62" w:rsidRPr="00F11201">
        <w:t>Tarim only hired men in top leadership positions</w:t>
      </w:r>
      <w:r w:rsidR="002D2C62">
        <w:t xml:space="preserve">.  He </w:t>
      </w:r>
      <w:r w:rsidR="00986678">
        <w:t>never</w:t>
      </w:r>
      <w:r w:rsidR="002D2C62" w:rsidRPr="00F11201">
        <w:t xml:space="preserve"> hired a female</w:t>
      </w:r>
      <w:r w:rsidR="00965341">
        <w:t xml:space="preserve"> or any</w:t>
      </w:r>
      <w:r w:rsidR="002D2C62" w:rsidRPr="00F11201">
        <w:t xml:space="preserve"> Hispanic, African American</w:t>
      </w:r>
      <w:r w:rsidR="00986678">
        <w:t>, or Asian individual</w:t>
      </w:r>
      <w:r w:rsidR="002D2C62" w:rsidRPr="00F11201">
        <w:t xml:space="preserve"> to serve </w:t>
      </w:r>
      <w:r w:rsidR="009211AD">
        <w:t xml:space="preserve">as a </w:t>
      </w:r>
      <w:r w:rsidR="009211AD">
        <w:br/>
        <w:t>“key employee” or a “highly compensated</w:t>
      </w:r>
      <w:r w:rsidR="002D417F">
        <w:t xml:space="preserve"> employee”</w:t>
      </w:r>
      <w:r w:rsidR="009211AD">
        <w:t xml:space="preserve"> </w:t>
      </w:r>
      <w:r w:rsidR="002D417F">
        <w:t xml:space="preserve">according to the employee names he </w:t>
      </w:r>
      <w:r w:rsidR="009211AD">
        <w:t xml:space="preserve">submitted on the Harmony financial reports to the IRS between </w:t>
      </w:r>
      <w:r w:rsidR="00FF2BFF">
        <w:t>2001–2017 when Mr. Tarim left Harmony</w:t>
      </w:r>
      <w:r w:rsidR="009211AD">
        <w:t>.</w:t>
      </w:r>
      <w:r w:rsidR="009211AD">
        <w:br/>
      </w:r>
      <w:r w:rsidR="009211AD">
        <w:br/>
      </w:r>
      <w:r w:rsidR="00F53448" w:rsidRPr="008748CC">
        <w:rPr>
          <w:b/>
          <w:bCs/>
          <w:color w:val="2F5496" w:themeColor="accent1" w:themeShade="BF"/>
          <w:u w:val="single"/>
        </w:rPr>
        <w:t>The majority of Royal’s Board members live in Houston – not San Antonio</w:t>
      </w:r>
      <w:r w:rsidR="00F53448" w:rsidRPr="00740B32">
        <w:rPr>
          <w:b/>
          <w:bCs/>
        </w:rPr>
        <w:t>.</w:t>
      </w:r>
      <w:r w:rsidR="009211AD">
        <w:t xml:space="preserve">  </w:t>
      </w:r>
      <w:r w:rsidR="00AC56F7">
        <w:t>Royal proposes to locate its charter school in San Antonio, but the majority of its Board lives in Houston.  The two members from San Antonio who have</w:t>
      </w:r>
      <w:r w:rsidR="00965341">
        <w:t xml:space="preserve"> </w:t>
      </w:r>
      <w:r w:rsidR="00AC56F7">
        <w:t xml:space="preserve">recently </w:t>
      </w:r>
      <w:r w:rsidR="00965341">
        <w:t xml:space="preserve">joined </w:t>
      </w:r>
      <w:r w:rsidR="00AC56F7">
        <w:t xml:space="preserve">the Board do not live in </w:t>
      </w:r>
      <w:r w:rsidR="00713D9C">
        <w:t xml:space="preserve">the </w:t>
      </w:r>
      <w:r w:rsidR="00AC56F7">
        <w:t xml:space="preserve">south and central San Antonio </w:t>
      </w:r>
      <w:r w:rsidR="00713D9C">
        <w:t xml:space="preserve">community </w:t>
      </w:r>
      <w:r w:rsidR="00AC56F7">
        <w:t xml:space="preserve">where the proposed charter school will be located.  Royal </w:t>
      </w:r>
      <w:r w:rsidR="00965341">
        <w:t xml:space="preserve">also </w:t>
      </w:r>
      <w:r w:rsidR="009A3528">
        <w:t xml:space="preserve">was </w:t>
      </w:r>
      <w:r w:rsidR="00AC56F7">
        <w:t xml:space="preserve">criticized in 2019 for having Board members that </w:t>
      </w:r>
      <w:r w:rsidR="00965341">
        <w:t xml:space="preserve">did not </w:t>
      </w:r>
      <w:r w:rsidR="00AC56F7">
        <w:t>represent the community it proposed to serve</w:t>
      </w:r>
      <w:r w:rsidR="00676D2F">
        <w:t xml:space="preserve"> in Austin</w:t>
      </w:r>
      <w:r w:rsidR="00AC56F7">
        <w:t>.</w:t>
      </w:r>
      <w:r w:rsidR="00965341">
        <w:t xml:space="preserve">  </w:t>
      </w:r>
    </w:p>
    <w:p w14:paraId="76B6FC7E" w14:textId="2F339A61" w:rsidR="00415149" w:rsidRDefault="002D2C62" w:rsidP="009A28EE">
      <w:r w:rsidRPr="008748CC">
        <w:rPr>
          <w:b/>
          <w:bCs/>
          <w:color w:val="2F5496" w:themeColor="accent1" w:themeShade="BF"/>
          <w:u w:val="single"/>
        </w:rPr>
        <w:t>Royal will exclude certain students from enrollment.</w:t>
      </w:r>
      <w:r w:rsidR="00676D2F" w:rsidRPr="008748CC">
        <w:rPr>
          <w:b/>
          <w:bCs/>
          <w:color w:val="2F5496" w:themeColor="accent1" w:themeShade="BF"/>
        </w:rPr>
        <w:t xml:space="preserve">  </w:t>
      </w:r>
      <w:r w:rsidRPr="00F11201">
        <w:t xml:space="preserve">Royal indicates </w:t>
      </w:r>
      <w:r w:rsidR="00676D2F">
        <w:t>i</w:t>
      </w:r>
      <w:r w:rsidRPr="00F11201">
        <w:t xml:space="preserve">n its application that it </w:t>
      </w:r>
      <w:r w:rsidR="008A57C2">
        <w:t>“</w:t>
      </w:r>
      <w:r w:rsidR="008A57C2" w:rsidRPr="002D417F">
        <w:t>shall”</w:t>
      </w:r>
      <w:r w:rsidRPr="00F11201">
        <w:t xml:space="preserve"> exclude students </w:t>
      </w:r>
      <w:r w:rsidR="002D417F">
        <w:t xml:space="preserve">who have any discipline history from enrollment. </w:t>
      </w:r>
      <w:r w:rsidR="00676D2F">
        <w:t xml:space="preserve"> </w:t>
      </w:r>
      <w:r w:rsidR="00C46462">
        <w:t xml:space="preserve">This </w:t>
      </w:r>
      <w:r w:rsidR="002D417F">
        <w:t xml:space="preserve">exclusion </w:t>
      </w:r>
      <w:r w:rsidR="00C46462">
        <w:t>discriminates against students of color and students with special needs, because research shows the</w:t>
      </w:r>
      <w:r w:rsidR="002D417F">
        <w:t>se student populations</w:t>
      </w:r>
      <w:r w:rsidR="00C46462">
        <w:t xml:space="preserve"> receive a disproportionate percentage of discipline actions.</w:t>
      </w:r>
      <w:r w:rsidR="00C023E5">
        <w:t xml:space="preserve">  In addition, </w:t>
      </w:r>
      <w:r w:rsidR="00B104BF">
        <w:t xml:space="preserve">Royal Public Schools will not provide transportation to students which will </w:t>
      </w:r>
      <w:r w:rsidR="002D417F">
        <w:t xml:space="preserve">also </w:t>
      </w:r>
      <w:r w:rsidR="00B104BF">
        <w:t>exclude many students from attending whose parents do not have cars or whose work schedules make bus transportation a necessity</w:t>
      </w:r>
      <w:r w:rsidR="00C46462">
        <w:t>.</w:t>
      </w:r>
      <w:r w:rsidR="001E2634">
        <w:br/>
      </w:r>
      <w:r w:rsidR="001E2634" w:rsidRPr="008A57C2">
        <w:rPr>
          <w:b/>
          <w:bCs/>
        </w:rPr>
        <w:br/>
      </w:r>
      <w:r w:rsidR="001E2634" w:rsidRPr="008748CC">
        <w:rPr>
          <w:b/>
          <w:bCs/>
          <w:color w:val="2F5496" w:themeColor="accent1" w:themeShade="BF"/>
          <w:u w:val="single"/>
        </w:rPr>
        <w:t xml:space="preserve">Charter schools in San Antonio </w:t>
      </w:r>
      <w:r w:rsidR="00BF0142" w:rsidRPr="008748CC">
        <w:rPr>
          <w:b/>
          <w:bCs/>
          <w:color w:val="2F5496" w:themeColor="accent1" w:themeShade="BF"/>
          <w:u w:val="single"/>
        </w:rPr>
        <w:t xml:space="preserve">already </w:t>
      </w:r>
      <w:r w:rsidR="001E2634" w:rsidRPr="008748CC">
        <w:rPr>
          <w:b/>
          <w:bCs/>
          <w:color w:val="2F5496" w:themeColor="accent1" w:themeShade="BF"/>
          <w:u w:val="single"/>
        </w:rPr>
        <w:t xml:space="preserve">significantly underserve at-risk </w:t>
      </w:r>
      <w:r w:rsidR="00F107BF" w:rsidRPr="008748CC">
        <w:rPr>
          <w:b/>
          <w:bCs/>
          <w:color w:val="2F5496" w:themeColor="accent1" w:themeShade="BF"/>
          <w:u w:val="single"/>
        </w:rPr>
        <w:t xml:space="preserve">and </w:t>
      </w:r>
      <w:r w:rsidR="00415149" w:rsidRPr="008748CC">
        <w:rPr>
          <w:b/>
          <w:bCs/>
          <w:color w:val="2F5496" w:themeColor="accent1" w:themeShade="BF"/>
          <w:u w:val="single"/>
        </w:rPr>
        <w:t xml:space="preserve">special needs </w:t>
      </w:r>
      <w:r w:rsidR="001E2634" w:rsidRPr="008748CC">
        <w:rPr>
          <w:b/>
          <w:bCs/>
          <w:color w:val="2F5496" w:themeColor="accent1" w:themeShade="BF"/>
          <w:u w:val="single"/>
        </w:rPr>
        <w:t>students</w:t>
      </w:r>
      <w:r w:rsidR="008A57C2" w:rsidRPr="008748CC">
        <w:rPr>
          <w:b/>
          <w:bCs/>
          <w:color w:val="2F5496" w:themeColor="accent1" w:themeShade="BF"/>
          <w:u w:val="single"/>
        </w:rPr>
        <w:t>.</w:t>
      </w:r>
      <w:r w:rsidR="008A57C2" w:rsidRPr="008748CC">
        <w:rPr>
          <w:b/>
          <w:bCs/>
          <w:color w:val="2F5496" w:themeColor="accent1" w:themeShade="BF"/>
        </w:rPr>
        <w:t xml:space="preserve">  </w:t>
      </w:r>
      <w:r w:rsidR="00415149">
        <w:rPr>
          <w:b/>
          <w:bCs/>
        </w:rPr>
        <w:br/>
      </w:r>
      <w:r w:rsidR="00BF0142" w:rsidRPr="00BF0142">
        <w:t>Existing charter</w:t>
      </w:r>
      <w:r w:rsidR="00415149">
        <w:t xml:space="preserve"> schools</w:t>
      </w:r>
      <w:r w:rsidR="00BF0142" w:rsidRPr="00BF0142">
        <w:t xml:space="preserve"> in south and central San Antonio already serve significantly fewer students who face both academic and life challenges, by as much as </w:t>
      </w:r>
      <w:r w:rsidR="009B7494">
        <w:t>41</w:t>
      </w:r>
      <w:r w:rsidR="00BF0142" w:rsidRPr="00BF0142">
        <w:t xml:space="preserve"> </w:t>
      </w:r>
      <w:r w:rsidR="009B7494">
        <w:t>points</w:t>
      </w:r>
      <w:r w:rsidR="00BF0142" w:rsidRPr="00BF0142">
        <w:t xml:space="preserve">.  Because </w:t>
      </w:r>
      <w:r w:rsidR="005D3095">
        <w:t xml:space="preserve">Royal will use similar </w:t>
      </w:r>
      <w:r w:rsidR="00BF0142" w:rsidRPr="00BF0142">
        <w:t>exclusionary p</w:t>
      </w:r>
      <w:r w:rsidR="005D3095">
        <w:t>ractices that discourage or prohibit the enrollment of at-risk and special needs students</w:t>
      </w:r>
      <w:r w:rsidR="00315793">
        <w:t>,</w:t>
      </w:r>
      <w:r w:rsidR="005D3095">
        <w:t xml:space="preserve"> </w:t>
      </w:r>
      <w:r w:rsidR="002D417F">
        <w:t xml:space="preserve">it is likely that </w:t>
      </w:r>
      <w:r w:rsidR="005D3095" w:rsidRPr="00713D9C">
        <w:rPr>
          <w:u w:val="single"/>
        </w:rPr>
        <w:t>Royal will also underserve th</w:t>
      </w:r>
      <w:r w:rsidR="002D417F" w:rsidRPr="00713D9C">
        <w:rPr>
          <w:u w:val="single"/>
        </w:rPr>
        <w:t>e students who face the most challenges</w:t>
      </w:r>
      <w:r w:rsidR="002D417F">
        <w:t>.</w:t>
      </w:r>
      <w:r w:rsidR="005D3095">
        <w:t xml:space="preserve"> This results in</w:t>
      </w:r>
      <w:r w:rsidR="002D417F">
        <w:t xml:space="preserve"> </w:t>
      </w:r>
      <w:r w:rsidR="005D3095">
        <w:t xml:space="preserve">a </w:t>
      </w:r>
      <w:r w:rsidR="005D3095">
        <w:lastRenderedPageBreak/>
        <w:t>higher p</w:t>
      </w:r>
      <w:r w:rsidR="002D417F">
        <w:t>ercentage</w:t>
      </w:r>
      <w:r w:rsidR="005D3095">
        <w:t xml:space="preserve"> of students with challenges </w:t>
      </w:r>
      <w:r w:rsidR="002D417F">
        <w:t xml:space="preserve">who attend </w:t>
      </w:r>
      <w:r w:rsidR="00CC5946">
        <w:t>public school districts</w:t>
      </w:r>
      <w:r w:rsidR="005D3095">
        <w:t xml:space="preserve"> and a higher cost</w:t>
      </w:r>
      <w:r w:rsidR="002D417F">
        <w:t xml:space="preserve"> to the district</w:t>
      </w:r>
      <w:r w:rsidR="005D3095">
        <w:t>.</w:t>
      </w:r>
      <w:r w:rsidR="00415149">
        <w:t xml:space="preserve"> </w:t>
      </w:r>
    </w:p>
    <w:tbl>
      <w:tblPr>
        <w:tblStyle w:val="TableGrid"/>
        <w:tblW w:w="1098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708"/>
        <w:gridCol w:w="1170"/>
        <w:gridCol w:w="1079"/>
        <w:gridCol w:w="1039"/>
        <w:gridCol w:w="1124"/>
        <w:gridCol w:w="1317"/>
        <w:gridCol w:w="1309"/>
        <w:gridCol w:w="1334"/>
        <w:gridCol w:w="900"/>
      </w:tblGrid>
      <w:tr w:rsidR="009619ED" w:rsidRPr="00465743" w14:paraId="2E9D7683" w14:textId="52ABCFB9" w:rsidTr="00E53259">
        <w:tc>
          <w:tcPr>
            <w:tcW w:w="1708" w:type="dxa"/>
            <w:shd w:val="clear" w:color="auto" w:fill="FFF2CC" w:themeFill="accent4" w:themeFillTint="33"/>
          </w:tcPr>
          <w:p w14:paraId="27A3EF8C" w14:textId="63E8AAF5" w:rsidR="00415149" w:rsidRPr="00E53259" w:rsidRDefault="00415149" w:rsidP="009A28EE">
            <w:r w:rsidRPr="00465743">
              <w:rPr>
                <w:b/>
                <w:bCs/>
                <w:sz w:val="20"/>
                <w:szCs w:val="20"/>
              </w:rPr>
              <w:t>Description</w:t>
            </w:r>
            <w:r w:rsidR="00C023E5">
              <w:rPr>
                <w:b/>
                <w:bCs/>
                <w:sz w:val="20"/>
                <w:szCs w:val="20"/>
              </w:rPr>
              <w:br/>
            </w:r>
            <w:r w:rsidR="00C023E5" w:rsidRPr="00415149">
              <w:rPr>
                <w:sz w:val="18"/>
                <w:szCs w:val="18"/>
              </w:rPr>
              <w:t xml:space="preserve">TEA TAPR </w:t>
            </w:r>
            <w:r w:rsidR="00E53259">
              <w:rPr>
                <w:sz w:val="18"/>
                <w:szCs w:val="18"/>
              </w:rPr>
              <w:br/>
            </w:r>
            <w:r w:rsidR="00C023E5" w:rsidRPr="00415149">
              <w:rPr>
                <w:sz w:val="18"/>
                <w:szCs w:val="18"/>
              </w:rPr>
              <w:t>2018-2019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14:paraId="57298DB2" w14:textId="299E1520" w:rsidR="00415149" w:rsidRPr="00465743" w:rsidRDefault="00415149" w:rsidP="009A28EE">
            <w:pPr>
              <w:rPr>
                <w:b/>
                <w:bCs/>
                <w:sz w:val="20"/>
                <w:szCs w:val="20"/>
              </w:rPr>
            </w:pPr>
            <w:r w:rsidRPr="00465743">
              <w:rPr>
                <w:b/>
                <w:bCs/>
                <w:sz w:val="20"/>
                <w:szCs w:val="20"/>
              </w:rPr>
              <w:t>Harlandale</w:t>
            </w:r>
            <w:r w:rsidRPr="00465743">
              <w:rPr>
                <w:b/>
                <w:bCs/>
                <w:sz w:val="20"/>
                <w:szCs w:val="20"/>
              </w:rPr>
              <w:br/>
              <w:t>ISD</w:t>
            </w:r>
          </w:p>
        </w:tc>
        <w:tc>
          <w:tcPr>
            <w:tcW w:w="1079" w:type="dxa"/>
            <w:shd w:val="clear" w:color="auto" w:fill="D9E2F3" w:themeFill="accent1" w:themeFillTint="33"/>
          </w:tcPr>
          <w:p w14:paraId="702DDC93" w14:textId="0AF30FD3" w:rsidR="00415149" w:rsidRPr="00465743" w:rsidRDefault="00415149" w:rsidP="009A28EE">
            <w:pPr>
              <w:rPr>
                <w:b/>
                <w:bCs/>
                <w:sz w:val="20"/>
                <w:szCs w:val="20"/>
              </w:rPr>
            </w:pPr>
            <w:r w:rsidRPr="00465743">
              <w:rPr>
                <w:b/>
                <w:bCs/>
                <w:sz w:val="20"/>
                <w:szCs w:val="20"/>
              </w:rPr>
              <w:t>South San</w:t>
            </w:r>
            <w:r w:rsidRPr="00465743">
              <w:rPr>
                <w:b/>
                <w:bCs/>
                <w:sz w:val="20"/>
                <w:szCs w:val="20"/>
              </w:rPr>
              <w:br/>
              <w:t>Antonio</w:t>
            </w:r>
            <w:r w:rsidRPr="00465743">
              <w:rPr>
                <w:b/>
                <w:bCs/>
                <w:sz w:val="20"/>
                <w:szCs w:val="20"/>
              </w:rPr>
              <w:br/>
              <w:t>ISD</w:t>
            </w:r>
          </w:p>
        </w:tc>
        <w:tc>
          <w:tcPr>
            <w:tcW w:w="1039" w:type="dxa"/>
            <w:shd w:val="clear" w:color="auto" w:fill="D9E2F3" w:themeFill="accent1" w:themeFillTint="33"/>
          </w:tcPr>
          <w:p w14:paraId="2A73D75C" w14:textId="5C7A01CA" w:rsidR="00415149" w:rsidRPr="00465743" w:rsidRDefault="00415149" w:rsidP="009A28EE">
            <w:pPr>
              <w:rPr>
                <w:b/>
                <w:bCs/>
                <w:sz w:val="20"/>
                <w:szCs w:val="20"/>
              </w:rPr>
            </w:pPr>
            <w:r w:rsidRPr="00465743">
              <w:rPr>
                <w:b/>
                <w:bCs/>
                <w:sz w:val="20"/>
                <w:szCs w:val="20"/>
              </w:rPr>
              <w:t>Southside ISD</w:t>
            </w:r>
          </w:p>
        </w:tc>
        <w:tc>
          <w:tcPr>
            <w:tcW w:w="1124" w:type="dxa"/>
            <w:shd w:val="clear" w:color="auto" w:fill="D9E2F3" w:themeFill="accent1" w:themeFillTint="33"/>
          </w:tcPr>
          <w:p w14:paraId="3919A3E3" w14:textId="0F5309A3" w:rsidR="00415149" w:rsidRPr="00465743" w:rsidRDefault="00415149" w:rsidP="009A28EE">
            <w:pPr>
              <w:rPr>
                <w:b/>
                <w:bCs/>
                <w:sz w:val="20"/>
                <w:szCs w:val="20"/>
              </w:rPr>
            </w:pPr>
            <w:r w:rsidRPr="00465743">
              <w:rPr>
                <w:b/>
                <w:bCs/>
                <w:sz w:val="20"/>
                <w:szCs w:val="20"/>
              </w:rPr>
              <w:t>Southwest ISD</w:t>
            </w:r>
          </w:p>
        </w:tc>
        <w:tc>
          <w:tcPr>
            <w:tcW w:w="1317" w:type="dxa"/>
            <w:shd w:val="clear" w:color="auto" w:fill="E2EFD9" w:themeFill="accent6" w:themeFillTint="33"/>
          </w:tcPr>
          <w:p w14:paraId="27B10F89" w14:textId="66B8394D" w:rsidR="00415149" w:rsidRPr="00465743" w:rsidRDefault="00415149" w:rsidP="009A28EE">
            <w:pPr>
              <w:rPr>
                <w:b/>
                <w:bCs/>
                <w:sz w:val="20"/>
                <w:szCs w:val="20"/>
              </w:rPr>
            </w:pPr>
            <w:r w:rsidRPr="00465743">
              <w:rPr>
                <w:b/>
                <w:bCs/>
                <w:sz w:val="20"/>
                <w:szCs w:val="20"/>
              </w:rPr>
              <w:t xml:space="preserve">IDEA </w:t>
            </w:r>
            <w:r w:rsidRPr="00465743">
              <w:rPr>
                <w:b/>
                <w:bCs/>
                <w:sz w:val="20"/>
                <w:szCs w:val="20"/>
              </w:rPr>
              <w:br/>
              <w:t>South Flores</w:t>
            </w:r>
            <w:r w:rsidR="00E53259">
              <w:rPr>
                <w:b/>
                <w:bCs/>
                <w:sz w:val="20"/>
                <w:szCs w:val="20"/>
              </w:rPr>
              <w:br/>
              <w:t>Academy</w:t>
            </w:r>
          </w:p>
        </w:tc>
        <w:tc>
          <w:tcPr>
            <w:tcW w:w="1309" w:type="dxa"/>
            <w:shd w:val="clear" w:color="auto" w:fill="E2EFD9" w:themeFill="accent6" w:themeFillTint="33"/>
          </w:tcPr>
          <w:p w14:paraId="4EADCCF7" w14:textId="73441954" w:rsidR="00415149" w:rsidRPr="00465743" w:rsidRDefault="00415149" w:rsidP="009A28EE">
            <w:pPr>
              <w:rPr>
                <w:b/>
                <w:bCs/>
                <w:sz w:val="20"/>
                <w:szCs w:val="20"/>
              </w:rPr>
            </w:pPr>
            <w:r w:rsidRPr="00465743">
              <w:rPr>
                <w:b/>
                <w:bCs/>
                <w:sz w:val="20"/>
                <w:szCs w:val="20"/>
              </w:rPr>
              <w:t xml:space="preserve">IDEA </w:t>
            </w:r>
            <w:r w:rsidRPr="00465743">
              <w:rPr>
                <w:b/>
                <w:bCs/>
                <w:sz w:val="20"/>
                <w:szCs w:val="20"/>
              </w:rPr>
              <w:br/>
              <w:t>Brackenridge</w:t>
            </w:r>
            <w:r w:rsidR="00E53259">
              <w:rPr>
                <w:b/>
                <w:bCs/>
                <w:sz w:val="20"/>
                <w:szCs w:val="20"/>
              </w:rPr>
              <w:br/>
              <w:t>Academy</w:t>
            </w:r>
          </w:p>
        </w:tc>
        <w:tc>
          <w:tcPr>
            <w:tcW w:w="1334" w:type="dxa"/>
            <w:shd w:val="clear" w:color="auto" w:fill="E2EFD9" w:themeFill="accent6" w:themeFillTint="33"/>
          </w:tcPr>
          <w:p w14:paraId="7C9D0388" w14:textId="3F48B8DC" w:rsidR="00415149" w:rsidRPr="00465743" w:rsidRDefault="00415149" w:rsidP="009A28EE">
            <w:pPr>
              <w:rPr>
                <w:b/>
                <w:bCs/>
                <w:sz w:val="20"/>
                <w:szCs w:val="20"/>
              </w:rPr>
            </w:pPr>
            <w:r w:rsidRPr="00465743">
              <w:rPr>
                <w:b/>
                <w:bCs/>
                <w:sz w:val="20"/>
                <w:szCs w:val="20"/>
              </w:rPr>
              <w:t xml:space="preserve">IDEA </w:t>
            </w:r>
            <w:r w:rsidRPr="00465743">
              <w:rPr>
                <w:b/>
                <w:bCs/>
                <w:sz w:val="20"/>
                <w:szCs w:val="20"/>
              </w:rPr>
              <w:br/>
              <w:t>Ewing Halsell</w:t>
            </w:r>
            <w:r w:rsidR="00E53259">
              <w:rPr>
                <w:b/>
                <w:bCs/>
                <w:sz w:val="20"/>
                <w:szCs w:val="20"/>
              </w:rPr>
              <w:br/>
              <w:t>Academy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244CE020" w14:textId="2A5DBA4A" w:rsidR="00415149" w:rsidRPr="00465743" w:rsidRDefault="00415149" w:rsidP="009A28EE">
            <w:pPr>
              <w:rPr>
                <w:b/>
                <w:bCs/>
                <w:sz w:val="20"/>
                <w:szCs w:val="20"/>
              </w:rPr>
            </w:pPr>
            <w:r w:rsidRPr="00465743">
              <w:rPr>
                <w:b/>
                <w:bCs/>
                <w:sz w:val="20"/>
                <w:szCs w:val="20"/>
              </w:rPr>
              <w:t>State</w:t>
            </w:r>
            <w:r w:rsidRPr="00465743">
              <w:rPr>
                <w:b/>
                <w:bCs/>
                <w:sz w:val="20"/>
                <w:szCs w:val="20"/>
              </w:rPr>
              <w:br/>
              <w:t>Average</w:t>
            </w:r>
          </w:p>
        </w:tc>
      </w:tr>
      <w:tr w:rsidR="009619ED" w:rsidRPr="00465743" w14:paraId="7CA84134" w14:textId="343EDF07" w:rsidTr="00E53259">
        <w:tc>
          <w:tcPr>
            <w:tcW w:w="1708" w:type="dxa"/>
          </w:tcPr>
          <w:p w14:paraId="69D84E0A" w14:textId="34E5BAB8" w:rsidR="00415149" w:rsidRPr="00465743" w:rsidRDefault="00415149" w:rsidP="009A28EE">
            <w:pPr>
              <w:rPr>
                <w:sz w:val="20"/>
                <w:szCs w:val="20"/>
              </w:rPr>
            </w:pPr>
            <w:r w:rsidRPr="00465743">
              <w:rPr>
                <w:sz w:val="20"/>
                <w:szCs w:val="20"/>
              </w:rPr>
              <w:t>At Risk</w:t>
            </w:r>
          </w:p>
        </w:tc>
        <w:tc>
          <w:tcPr>
            <w:tcW w:w="1170" w:type="dxa"/>
          </w:tcPr>
          <w:p w14:paraId="2A36B64B" w14:textId="6BFBF361" w:rsidR="00415149" w:rsidRPr="00465743" w:rsidRDefault="00415149" w:rsidP="009A28EE">
            <w:pPr>
              <w:rPr>
                <w:sz w:val="20"/>
                <w:szCs w:val="20"/>
              </w:rPr>
            </w:pPr>
            <w:r w:rsidRPr="00465743">
              <w:rPr>
                <w:sz w:val="20"/>
                <w:szCs w:val="20"/>
              </w:rPr>
              <w:t>74.8%</w:t>
            </w:r>
          </w:p>
        </w:tc>
        <w:tc>
          <w:tcPr>
            <w:tcW w:w="1079" w:type="dxa"/>
          </w:tcPr>
          <w:p w14:paraId="0FFC1ADD" w14:textId="4A6324FF" w:rsidR="00415149" w:rsidRPr="00465743" w:rsidRDefault="00415149" w:rsidP="009A28EE">
            <w:pPr>
              <w:rPr>
                <w:sz w:val="20"/>
                <w:szCs w:val="20"/>
              </w:rPr>
            </w:pPr>
            <w:r w:rsidRPr="00465743">
              <w:rPr>
                <w:sz w:val="20"/>
                <w:szCs w:val="20"/>
              </w:rPr>
              <w:t>69.9%</w:t>
            </w:r>
          </w:p>
        </w:tc>
        <w:tc>
          <w:tcPr>
            <w:tcW w:w="1039" w:type="dxa"/>
          </w:tcPr>
          <w:p w14:paraId="559F4BED" w14:textId="4B2169DD" w:rsidR="00415149" w:rsidRPr="00465743" w:rsidRDefault="00415149" w:rsidP="009A28EE">
            <w:pPr>
              <w:rPr>
                <w:sz w:val="20"/>
                <w:szCs w:val="20"/>
              </w:rPr>
            </w:pPr>
            <w:r w:rsidRPr="00465743">
              <w:rPr>
                <w:sz w:val="20"/>
                <w:szCs w:val="20"/>
              </w:rPr>
              <w:t>67.5%</w:t>
            </w:r>
          </w:p>
        </w:tc>
        <w:tc>
          <w:tcPr>
            <w:tcW w:w="1124" w:type="dxa"/>
          </w:tcPr>
          <w:p w14:paraId="5B30B36A" w14:textId="72798732" w:rsidR="00415149" w:rsidRPr="00465743" w:rsidRDefault="002C10CE" w:rsidP="009A28EE">
            <w:pPr>
              <w:rPr>
                <w:sz w:val="20"/>
                <w:szCs w:val="20"/>
              </w:rPr>
            </w:pPr>
            <w:r w:rsidRPr="00465743">
              <w:rPr>
                <w:sz w:val="20"/>
                <w:szCs w:val="20"/>
              </w:rPr>
              <w:t>69.2%</w:t>
            </w:r>
          </w:p>
        </w:tc>
        <w:tc>
          <w:tcPr>
            <w:tcW w:w="1317" w:type="dxa"/>
          </w:tcPr>
          <w:p w14:paraId="765FCE0F" w14:textId="5A5A2E69" w:rsidR="00415149" w:rsidRPr="00465743" w:rsidRDefault="00415149" w:rsidP="009A28EE">
            <w:pPr>
              <w:rPr>
                <w:sz w:val="20"/>
                <w:szCs w:val="20"/>
              </w:rPr>
            </w:pPr>
            <w:r w:rsidRPr="00465743">
              <w:rPr>
                <w:sz w:val="20"/>
                <w:szCs w:val="20"/>
              </w:rPr>
              <w:t>40.0%</w:t>
            </w:r>
          </w:p>
        </w:tc>
        <w:tc>
          <w:tcPr>
            <w:tcW w:w="1309" w:type="dxa"/>
          </w:tcPr>
          <w:p w14:paraId="54710C82" w14:textId="36860CB2" w:rsidR="00415149" w:rsidRPr="00465743" w:rsidRDefault="00415149" w:rsidP="009A28EE">
            <w:pPr>
              <w:rPr>
                <w:sz w:val="20"/>
                <w:szCs w:val="20"/>
              </w:rPr>
            </w:pPr>
            <w:r w:rsidRPr="00465743">
              <w:rPr>
                <w:sz w:val="20"/>
                <w:szCs w:val="20"/>
              </w:rPr>
              <w:t>42.9%</w:t>
            </w:r>
          </w:p>
        </w:tc>
        <w:tc>
          <w:tcPr>
            <w:tcW w:w="1334" w:type="dxa"/>
          </w:tcPr>
          <w:p w14:paraId="0FF9C932" w14:textId="602B2B78" w:rsidR="00415149" w:rsidRPr="00465743" w:rsidRDefault="00F61F42" w:rsidP="009A2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33.7%</w:t>
            </w:r>
          </w:p>
        </w:tc>
        <w:tc>
          <w:tcPr>
            <w:tcW w:w="900" w:type="dxa"/>
          </w:tcPr>
          <w:p w14:paraId="6AFEDA3F" w14:textId="6CBB1BC7" w:rsidR="00415149" w:rsidRPr="00465743" w:rsidRDefault="00415149" w:rsidP="009A28EE">
            <w:pPr>
              <w:rPr>
                <w:sz w:val="20"/>
                <w:szCs w:val="20"/>
              </w:rPr>
            </w:pPr>
            <w:r w:rsidRPr="00465743">
              <w:rPr>
                <w:sz w:val="20"/>
                <w:szCs w:val="20"/>
              </w:rPr>
              <w:t>50.1%</w:t>
            </w:r>
          </w:p>
        </w:tc>
      </w:tr>
      <w:tr w:rsidR="009619ED" w:rsidRPr="00465743" w14:paraId="3E24189A" w14:textId="4E078066" w:rsidTr="00E53259">
        <w:tc>
          <w:tcPr>
            <w:tcW w:w="1708" w:type="dxa"/>
          </w:tcPr>
          <w:p w14:paraId="5DDA5103" w14:textId="69BD18BF" w:rsidR="00415149" w:rsidRPr="00465743" w:rsidRDefault="00415149" w:rsidP="009A28EE">
            <w:pPr>
              <w:rPr>
                <w:sz w:val="20"/>
                <w:szCs w:val="20"/>
              </w:rPr>
            </w:pPr>
            <w:r w:rsidRPr="00465743">
              <w:rPr>
                <w:sz w:val="20"/>
                <w:szCs w:val="20"/>
              </w:rPr>
              <w:t xml:space="preserve">SPED </w:t>
            </w:r>
          </w:p>
        </w:tc>
        <w:tc>
          <w:tcPr>
            <w:tcW w:w="1170" w:type="dxa"/>
          </w:tcPr>
          <w:p w14:paraId="1B62DA4D" w14:textId="7F3D1028" w:rsidR="00415149" w:rsidRPr="00465743" w:rsidRDefault="006369DC" w:rsidP="009A2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9.8%</w:t>
            </w:r>
          </w:p>
        </w:tc>
        <w:tc>
          <w:tcPr>
            <w:tcW w:w="1079" w:type="dxa"/>
          </w:tcPr>
          <w:p w14:paraId="3A5D7944" w14:textId="1CDAAC6D" w:rsidR="00415149" w:rsidRPr="00465743" w:rsidRDefault="006369DC" w:rsidP="009A2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10.4%</w:t>
            </w:r>
          </w:p>
        </w:tc>
        <w:tc>
          <w:tcPr>
            <w:tcW w:w="1039" w:type="dxa"/>
          </w:tcPr>
          <w:p w14:paraId="2F01EF82" w14:textId="1B8B9201" w:rsidR="00415149" w:rsidRPr="00465743" w:rsidRDefault="006369DC" w:rsidP="009A2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10.8%</w:t>
            </w:r>
          </w:p>
        </w:tc>
        <w:tc>
          <w:tcPr>
            <w:tcW w:w="1124" w:type="dxa"/>
          </w:tcPr>
          <w:p w14:paraId="784E24D7" w14:textId="13EDBAA1" w:rsidR="00415149" w:rsidRPr="00465743" w:rsidRDefault="006369DC" w:rsidP="009A2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12.4%</w:t>
            </w:r>
          </w:p>
        </w:tc>
        <w:tc>
          <w:tcPr>
            <w:tcW w:w="1317" w:type="dxa"/>
          </w:tcPr>
          <w:p w14:paraId="68E84B68" w14:textId="32CAF257" w:rsidR="00415149" w:rsidRPr="00465743" w:rsidRDefault="00BF59C0" w:rsidP="009A2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369DC">
              <w:rPr>
                <w:sz w:val="20"/>
                <w:szCs w:val="20"/>
              </w:rPr>
              <w:t>7.5%</w:t>
            </w:r>
          </w:p>
        </w:tc>
        <w:tc>
          <w:tcPr>
            <w:tcW w:w="1309" w:type="dxa"/>
          </w:tcPr>
          <w:p w14:paraId="32A1C600" w14:textId="7B90993F" w:rsidR="00415149" w:rsidRPr="00465743" w:rsidRDefault="00BF59C0" w:rsidP="009A2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369DC">
              <w:rPr>
                <w:sz w:val="20"/>
                <w:szCs w:val="20"/>
              </w:rPr>
              <w:t>2.9%</w:t>
            </w:r>
          </w:p>
        </w:tc>
        <w:tc>
          <w:tcPr>
            <w:tcW w:w="1334" w:type="dxa"/>
          </w:tcPr>
          <w:p w14:paraId="0335B317" w14:textId="6F56799A" w:rsidR="00415149" w:rsidRPr="00465743" w:rsidRDefault="00BF59C0" w:rsidP="009A2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369DC">
              <w:rPr>
                <w:sz w:val="20"/>
                <w:szCs w:val="20"/>
              </w:rPr>
              <w:t>2.7%</w:t>
            </w:r>
          </w:p>
        </w:tc>
        <w:tc>
          <w:tcPr>
            <w:tcW w:w="900" w:type="dxa"/>
          </w:tcPr>
          <w:p w14:paraId="10D596E9" w14:textId="4D44A927" w:rsidR="00415149" w:rsidRPr="00465743" w:rsidRDefault="006369DC" w:rsidP="009A2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9.6%</w:t>
            </w:r>
          </w:p>
        </w:tc>
      </w:tr>
    </w:tbl>
    <w:p w14:paraId="3E785AF7" w14:textId="66261C38" w:rsidR="005D515E" w:rsidRDefault="009B7494" w:rsidP="005D515E">
      <w:pPr>
        <w:pStyle w:val="NoSpacing"/>
      </w:pPr>
      <w:r>
        <w:rPr>
          <w:b/>
          <w:bCs/>
        </w:rPr>
        <w:br/>
      </w:r>
      <w:r w:rsidR="005D515E" w:rsidRPr="008748CC">
        <w:rPr>
          <w:b/>
          <w:bCs/>
          <w:color w:val="2F5496" w:themeColor="accent1" w:themeShade="BF"/>
          <w:u w:val="single"/>
        </w:rPr>
        <w:t>A record of charter failures over the past two years.</w:t>
      </w:r>
      <w:r w:rsidR="00B104BF" w:rsidRPr="008748CC">
        <w:rPr>
          <w:b/>
          <w:bCs/>
          <w:color w:val="2F5496" w:themeColor="accent1" w:themeShade="BF"/>
        </w:rPr>
        <w:t xml:space="preserve"> </w:t>
      </w:r>
      <w:r w:rsidR="00740B32" w:rsidRPr="005B68F9">
        <w:t>Mr. Tarim</w:t>
      </w:r>
      <w:r w:rsidR="005D515E">
        <w:t xml:space="preserve"> has </w:t>
      </w:r>
      <w:r w:rsidR="00CC5946">
        <w:t>been involved in</w:t>
      </w:r>
      <w:r w:rsidR="005D515E">
        <w:t xml:space="preserve"> three out-of-state charters in the past two years that </w:t>
      </w:r>
      <w:r w:rsidR="00713D9C">
        <w:t xml:space="preserve">have </w:t>
      </w:r>
      <w:r w:rsidR="005D515E">
        <w:t xml:space="preserve">been denied, revoked, or </w:t>
      </w:r>
      <w:r w:rsidR="00CC5946">
        <w:t>ended in disagreement and a lawsuit</w:t>
      </w:r>
      <w:r w:rsidR="005D515E">
        <w:t xml:space="preserve">. </w:t>
      </w:r>
      <w:r w:rsidR="009A3528">
        <w:t>The Education Code prohibits award of a charter to an applicant who has had a charter revoked.</w:t>
      </w:r>
    </w:p>
    <w:p w14:paraId="7B8EAEC1" w14:textId="39705AD1" w:rsidR="005D515E" w:rsidRDefault="008A57C2" w:rsidP="005D515E">
      <w:pPr>
        <w:pStyle w:val="ListParagraph"/>
        <w:numPr>
          <w:ilvl w:val="0"/>
          <w:numId w:val="1"/>
        </w:numPr>
      </w:pPr>
      <w:r w:rsidRPr="00465743">
        <w:rPr>
          <w:b/>
          <w:bCs/>
        </w:rPr>
        <w:t>Woodland Prep charter</w:t>
      </w:r>
      <w:r w:rsidR="005D515E">
        <w:t xml:space="preserve">:  </w:t>
      </w:r>
      <w:r w:rsidR="005D515E" w:rsidRPr="005D515E">
        <w:rPr>
          <w:u w:val="single"/>
        </w:rPr>
        <w:t>R</w:t>
      </w:r>
      <w:r w:rsidR="00740B32" w:rsidRPr="005D515E">
        <w:rPr>
          <w:u w:val="single"/>
        </w:rPr>
        <w:t>evoked</w:t>
      </w:r>
      <w:r w:rsidR="00740B32" w:rsidRPr="005B68F9">
        <w:t xml:space="preserve"> by the </w:t>
      </w:r>
      <w:r>
        <w:t>Alabama Charter Commission in June 2020</w:t>
      </w:r>
      <w:r w:rsidR="005D515E">
        <w:t xml:space="preserve"> (Mr. </w:t>
      </w:r>
      <w:proofErr w:type="spellStart"/>
      <w:r w:rsidR="005D515E">
        <w:t>Tarim</w:t>
      </w:r>
      <w:r w:rsidR="00713D9C">
        <w:t>’s</w:t>
      </w:r>
      <w:proofErr w:type="spellEnd"/>
      <w:r w:rsidR="00713D9C">
        <w:t xml:space="preserve"> company Unity School Services</w:t>
      </w:r>
      <w:r w:rsidR="005D515E">
        <w:t xml:space="preserve"> was the lead education services provider).</w:t>
      </w:r>
    </w:p>
    <w:p w14:paraId="6E078F6E" w14:textId="47395163" w:rsidR="005D515E" w:rsidRDefault="008A57C2" w:rsidP="005D515E">
      <w:pPr>
        <w:pStyle w:val="ListParagraph"/>
        <w:numPr>
          <w:ilvl w:val="0"/>
          <w:numId w:val="1"/>
        </w:numPr>
      </w:pPr>
      <w:r>
        <w:t xml:space="preserve"> </w:t>
      </w:r>
      <w:r w:rsidRPr="00465743">
        <w:rPr>
          <w:b/>
          <w:bCs/>
        </w:rPr>
        <w:t>Nevada Strong charter</w:t>
      </w:r>
      <w:r w:rsidR="005D515E">
        <w:t xml:space="preserve">:  </w:t>
      </w:r>
      <w:r w:rsidR="005D515E" w:rsidRPr="005D515E">
        <w:rPr>
          <w:u w:val="single"/>
        </w:rPr>
        <w:t>D</w:t>
      </w:r>
      <w:r w:rsidRPr="005D515E">
        <w:rPr>
          <w:u w:val="single"/>
        </w:rPr>
        <w:t xml:space="preserve">enied </w:t>
      </w:r>
      <w:r>
        <w:t>by the Nevada State Public Charter School Authority</w:t>
      </w:r>
      <w:r w:rsidR="001E2634">
        <w:t xml:space="preserve"> in December 2019</w:t>
      </w:r>
      <w:r w:rsidR="005D515E">
        <w:t xml:space="preserve"> (Mr. Tarim was co-founder)</w:t>
      </w:r>
      <w:r w:rsidR="009619ED">
        <w:t>.</w:t>
      </w:r>
    </w:p>
    <w:p w14:paraId="68EF88D8" w14:textId="77777777" w:rsidR="00713D9C" w:rsidRDefault="005D515E" w:rsidP="00713D9C">
      <w:pPr>
        <w:pStyle w:val="ListParagraph"/>
        <w:numPr>
          <w:ilvl w:val="0"/>
          <w:numId w:val="1"/>
        </w:numPr>
      </w:pPr>
      <w:r w:rsidRPr="00465743">
        <w:rPr>
          <w:b/>
          <w:bCs/>
        </w:rPr>
        <w:t>LEAD Academy</w:t>
      </w:r>
      <w:r>
        <w:t xml:space="preserve">:  </w:t>
      </w:r>
      <w:r w:rsidR="00CC5946">
        <w:t xml:space="preserve">The principal of the Alabama charter sued Mr. Tarim and the charter operator; </w:t>
      </w:r>
      <w:r w:rsidR="00713D9C">
        <w:br/>
      </w:r>
      <w:r w:rsidR="00CC5946">
        <w:t xml:space="preserve">Mr. Tarim left the charter amid press reports of “near chaos” </w:t>
      </w:r>
      <w:r w:rsidR="006024F5">
        <w:t xml:space="preserve">and </w:t>
      </w:r>
      <w:r w:rsidR="00CC5946">
        <w:t>disagreements with the operator</w:t>
      </w:r>
      <w:r w:rsidR="00713D9C">
        <w:t>.</w:t>
      </w:r>
    </w:p>
    <w:p w14:paraId="5C2E0F8C" w14:textId="34C32964" w:rsidR="00EB54D1" w:rsidRDefault="00454504" w:rsidP="00EB54D1">
      <w:pPr>
        <w:pStyle w:val="NoSpacing"/>
      </w:pPr>
      <w:r w:rsidRPr="008748CC">
        <w:rPr>
          <w:b/>
          <w:bCs/>
          <w:color w:val="2F5496" w:themeColor="accent1" w:themeShade="BF"/>
          <w:u w:val="single"/>
        </w:rPr>
        <w:t>Royal will not give students in south and central San Antonio enrollment priority</w:t>
      </w:r>
      <w:r w:rsidRPr="008748CC">
        <w:rPr>
          <w:color w:val="2F5496" w:themeColor="accent1" w:themeShade="BF"/>
          <w:u w:val="single"/>
        </w:rPr>
        <w:t>.</w:t>
      </w:r>
      <w:r w:rsidRPr="008748CC">
        <w:rPr>
          <w:color w:val="2F5496" w:themeColor="accent1" w:themeShade="BF"/>
        </w:rPr>
        <w:t xml:space="preserve">  </w:t>
      </w:r>
      <w:r>
        <w:t xml:space="preserve">While Royal justifies the need for its charter by focusing on the academic record of schools in south/central San Antonio, it actually does not intend to enroll the students in these districts as a first priority.  Instead of listing the south and central districts as a priority for enrollment (i.e., </w:t>
      </w:r>
      <w:r w:rsidR="006B5774">
        <w:t xml:space="preserve">in </w:t>
      </w:r>
      <w:r>
        <w:t>the primary boundary), these districts are given equal weight with</w:t>
      </w:r>
      <w:r w:rsidR="00713D9C">
        <w:t xml:space="preserve"> </w:t>
      </w:r>
      <w:r>
        <w:t>all the 23 districts included in the broader geographic boundary (p</w:t>
      </w:r>
      <w:r w:rsidR="00933083">
        <w:t>age</w:t>
      </w:r>
      <w:bookmarkStart w:id="0" w:name="_GoBack"/>
      <w:bookmarkEnd w:id="0"/>
      <w:r>
        <w:t xml:space="preserve"> 12).</w:t>
      </w:r>
      <w:r w:rsidR="00CC5946">
        <w:br/>
      </w:r>
      <w:r w:rsidR="00CC5946" w:rsidRPr="008748CC">
        <w:rPr>
          <w:color w:val="2F5496" w:themeColor="accent1" w:themeShade="BF"/>
          <w:u w:val="single"/>
        </w:rPr>
        <w:br/>
      </w:r>
      <w:r w:rsidR="00713D9C" w:rsidRPr="008748CC">
        <w:rPr>
          <w:b/>
          <w:bCs/>
          <w:color w:val="2F5496" w:themeColor="accent1" w:themeShade="BF"/>
          <w:u w:val="single"/>
        </w:rPr>
        <w:t>Few details about the budget or</w:t>
      </w:r>
      <w:r w:rsidR="00CF270F" w:rsidRPr="008748CC">
        <w:rPr>
          <w:b/>
          <w:bCs/>
          <w:color w:val="2F5496" w:themeColor="accent1" w:themeShade="BF"/>
          <w:u w:val="single"/>
        </w:rPr>
        <w:t xml:space="preserve"> </w:t>
      </w:r>
      <w:r w:rsidR="008E6D37" w:rsidRPr="008748CC">
        <w:rPr>
          <w:b/>
          <w:bCs/>
          <w:color w:val="2F5496" w:themeColor="accent1" w:themeShade="BF"/>
          <w:u w:val="single"/>
        </w:rPr>
        <w:t xml:space="preserve">the </w:t>
      </w:r>
      <w:r w:rsidR="00CC5946" w:rsidRPr="008748CC">
        <w:rPr>
          <w:b/>
          <w:bCs/>
          <w:color w:val="2F5496" w:themeColor="accent1" w:themeShade="BF"/>
          <w:u w:val="single"/>
        </w:rPr>
        <w:t>academic program</w:t>
      </w:r>
      <w:r w:rsidR="00CC5946" w:rsidRPr="008748CC">
        <w:rPr>
          <w:color w:val="2F5496" w:themeColor="accent1" w:themeShade="BF"/>
          <w:u w:val="single"/>
        </w:rPr>
        <w:t>.</w:t>
      </w:r>
      <w:r w:rsidR="00CC5946" w:rsidRPr="008748CC">
        <w:rPr>
          <w:color w:val="2F5496" w:themeColor="accent1" w:themeShade="BF"/>
        </w:rPr>
        <w:t xml:space="preserve">  </w:t>
      </w:r>
      <w:r w:rsidR="00CF270F">
        <w:t xml:space="preserve">Questions </w:t>
      </w:r>
      <w:r w:rsidR="006B5774">
        <w:t>were</w:t>
      </w:r>
      <w:r w:rsidR="00CF270F">
        <w:t xml:space="preserve"> raised </w:t>
      </w:r>
      <w:r w:rsidR="00713D9C">
        <w:t xml:space="preserve">by TEA </w:t>
      </w:r>
      <w:r w:rsidR="006B5774">
        <w:t xml:space="preserve">staff </w:t>
      </w:r>
      <w:r w:rsidR="00CF270F">
        <w:t xml:space="preserve">about </w:t>
      </w:r>
      <w:r w:rsidR="008E6D37">
        <w:t xml:space="preserve">the </w:t>
      </w:r>
      <w:r w:rsidR="00713D9C">
        <w:t xml:space="preserve">lack of detail regarding the </w:t>
      </w:r>
      <w:r w:rsidR="008E6D37">
        <w:t xml:space="preserve">multitude of new programs </w:t>
      </w:r>
      <w:r w:rsidR="00713D9C">
        <w:t xml:space="preserve">that </w:t>
      </w:r>
      <w:r w:rsidR="008E6D37">
        <w:t>Royal will implement</w:t>
      </w:r>
      <w:r w:rsidR="00713D9C">
        <w:t>.</w:t>
      </w:r>
      <w:r w:rsidR="008E6D37">
        <w:t xml:space="preserve"> </w:t>
      </w:r>
      <w:r w:rsidR="00315793">
        <w:t>In addition, t</w:t>
      </w:r>
      <w:r w:rsidR="00713D9C">
        <w:t xml:space="preserve">here is serious concern </w:t>
      </w:r>
      <w:r w:rsidR="008E6D37">
        <w:t xml:space="preserve">whether there is sufficient planning time, professional development, funding, and </w:t>
      </w:r>
      <w:r w:rsidR="009619ED">
        <w:t>in-house expertise/</w:t>
      </w:r>
      <w:r w:rsidR="00713D9C">
        <w:t>experience to ensure</w:t>
      </w:r>
      <w:r w:rsidR="008E6D37">
        <w:t xml:space="preserve"> a successful roll-out of so many programs at one time</w:t>
      </w:r>
      <w:r w:rsidR="00713D9C">
        <w:t xml:space="preserve"> that all require experienced staff or consultants and considerable </w:t>
      </w:r>
      <w:r w:rsidR="009619ED">
        <w:t>PD.</w:t>
      </w:r>
      <w:r w:rsidR="00713D9C">
        <w:t xml:space="preserve"> Royal proposes 12 major educational models such as: </w:t>
      </w:r>
      <w:r w:rsidR="00CF270F">
        <w:t>STEM, blended learning, project-based learning, social emotion</w:t>
      </w:r>
      <w:r w:rsidR="00713D9C">
        <w:t>al</w:t>
      </w:r>
      <w:r w:rsidR="00CF270F">
        <w:t xml:space="preserve"> learning, </w:t>
      </w:r>
      <w:r w:rsidR="00713D9C">
        <w:t xml:space="preserve">block schedule, the Deming Cycle, plus </w:t>
      </w:r>
      <w:r w:rsidR="008E6D37">
        <w:t xml:space="preserve">more. </w:t>
      </w:r>
      <w:r w:rsidR="009619ED">
        <w:t xml:space="preserve"> </w:t>
      </w:r>
      <w:r w:rsidR="00097F8C">
        <w:t xml:space="preserve">Note what </w:t>
      </w:r>
      <w:r w:rsidR="00EB54D1">
        <w:t>authorizers</w:t>
      </w:r>
      <w:r w:rsidR="008E6D37">
        <w:t xml:space="preserve"> </w:t>
      </w:r>
      <w:r w:rsidR="00EB54D1">
        <w:t xml:space="preserve">in other states </w:t>
      </w:r>
      <w:r w:rsidR="00097F8C">
        <w:t>sa</w:t>
      </w:r>
      <w:r w:rsidR="00012413">
        <w:t>y</w:t>
      </w:r>
      <w:r w:rsidR="00097F8C">
        <w:t xml:space="preserve"> about Mr. </w:t>
      </w:r>
      <w:proofErr w:type="spellStart"/>
      <w:r w:rsidR="00097F8C">
        <w:t>Tarim’s</w:t>
      </w:r>
      <w:proofErr w:type="spellEnd"/>
      <w:r w:rsidR="00097F8C">
        <w:t xml:space="preserve"> applications</w:t>
      </w:r>
      <w:r w:rsidR="00465743">
        <w:t xml:space="preserve"> </w:t>
      </w:r>
      <w:r w:rsidR="00097F8C">
        <w:t>which include a similar academic program to</w:t>
      </w:r>
      <w:r w:rsidR="009E2C97">
        <w:t xml:space="preserve"> </w:t>
      </w:r>
      <w:r w:rsidR="00097F8C">
        <w:t>the Royal program</w:t>
      </w:r>
      <w:r w:rsidR="00EB54D1">
        <w:t xml:space="preserve"> in San Antonio</w:t>
      </w:r>
      <w:r w:rsidR="00097F8C">
        <w:t xml:space="preserve">: </w:t>
      </w:r>
    </w:p>
    <w:p w14:paraId="06DE27EC" w14:textId="3C81CDDE" w:rsidR="00EB54D1" w:rsidRPr="00EB54D1" w:rsidRDefault="008E6D37" w:rsidP="00EB54D1">
      <w:pPr>
        <w:pStyle w:val="ListParagraph"/>
        <w:numPr>
          <w:ilvl w:val="0"/>
          <w:numId w:val="2"/>
        </w:numPr>
      </w:pPr>
      <w:r>
        <w:t>“</w:t>
      </w:r>
      <w:r w:rsidR="009E2C97" w:rsidRPr="00EB54D1">
        <w:rPr>
          <w:i/>
          <w:iCs/>
        </w:rPr>
        <w:t>significant identified weaknesses”</w:t>
      </w:r>
      <w:r w:rsidR="00E764D2">
        <w:rPr>
          <w:i/>
          <w:iCs/>
        </w:rPr>
        <w:t>;</w:t>
      </w:r>
    </w:p>
    <w:p w14:paraId="73CF0AD3" w14:textId="679439FF" w:rsidR="00EB54D1" w:rsidRPr="00EB54D1" w:rsidRDefault="00E764D2" w:rsidP="00EB54D1">
      <w:pPr>
        <w:pStyle w:val="ListParagraph"/>
        <w:numPr>
          <w:ilvl w:val="0"/>
          <w:numId w:val="2"/>
        </w:numPr>
      </w:pPr>
      <w:r>
        <w:t>“</w:t>
      </w:r>
      <w:r w:rsidR="009E2C97" w:rsidRPr="00EB54D1">
        <w:rPr>
          <w:i/>
          <w:iCs/>
        </w:rPr>
        <w:t>applicant was unable to provide…a clear understanding of the academic plan”</w:t>
      </w:r>
      <w:r>
        <w:rPr>
          <w:i/>
          <w:iCs/>
        </w:rPr>
        <w:t>;</w:t>
      </w:r>
      <w:r w:rsidR="00465743" w:rsidRPr="00EB54D1">
        <w:rPr>
          <w:i/>
          <w:iCs/>
        </w:rPr>
        <w:t xml:space="preserve"> </w:t>
      </w:r>
      <w:r w:rsidR="00465743" w:rsidRPr="009619ED">
        <w:t>and</w:t>
      </w:r>
      <w:r w:rsidR="00465743" w:rsidRPr="00EB54D1">
        <w:rPr>
          <w:i/>
          <w:iCs/>
        </w:rPr>
        <w:t xml:space="preserve"> </w:t>
      </w:r>
    </w:p>
    <w:p w14:paraId="12A1DE81" w14:textId="20623D1B" w:rsidR="00395680" w:rsidRPr="00395680" w:rsidRDefault="00465743" w:rsidP="00EB54D1">
      <w:pPr>
        <w:pStyle w:val="ListParagraph"/>
        <w:numPr>
          <w:ilvl w:val="0"/>
          <w:numId w:val="2"/>
        </w:numPr>
      </w:pPr>
      <w:r w:rsidRPr="00EB54D1">
        <w:rPr>
          <w:i/>
          <w:iCs/>
        </w:rPr>
        <w:t>“…educational plan does not constitute a rigorous, quality instructional design that ensures students will meet or exceed standards.”</w:t>
      </w:r>
    </w:p>
    <w:p w14:paraId="077EDA76" w14:textId="45BD8F35" w:rsidR="00C87EAE" w:rsidRPr="00C023E5" w:rsidRDefault="00740B32" w:rsidP="00C87EAE">
      <w:pPr>
        <w:rPr>
          <w:sz w:val="18"/>
          <w:szCs w:val="18"/>
        </w:rPr>
      </w:pPr>
      <w:r w:rsidRPr="008748CC">
        <w:rPr>
          <w:b/>
          <w:bCs/>
          <w:color w:val="2F5496" w:themeColor="accent1" w:themeShade="BF"/>
          <w:u w:val="single"/>
        </w:rPr>
        <w:t xml:space="preserve">Districts in south and central San Antonio are positioned for progress. </w:t>
      </w:r>
      <w:r w:rsidRPr="00395680">
        <w:rPr>
          <w:color w:val="000000" w:themeColor="text1"/>
        </w:rPr>
        <w:t xml:space="preserve">The districts targeted by Royal have worked diligently with TEA over the last few years to make progress with academics and operations.  With new leadership and a sense of urgency and mission, they are positioned </w:t>
      </w:r>
      <w:r>
        <w:t xml:space="preserve">for change.  But the opening of another new charter school will jeopardize the progress </w:t>
      </w:r>
      <w:r w:rsidR="00CA4553">
        <w:t>these districts</w:t>
      </w:r>
      <w:r>
        <w:t xml:space="preserve"> h</w:t>
      </w:r>
      <w:r w:rsidR="00CA4553">
        <w:t>ave</w:t>
      </w:r>
      <w:r>
        <w:t xml:space="preserve"> made and the momentum for change by draining millions of dollars from the budget and jeopardizing </w:t>
      </w:r>
      <w:r w:rsidR="00CA4553">
        <w:t xml:space="preserve">their </w:t>
      </w:r>
      <w:r>
        <w:t>ability to adequately fund programs and services for student</w:t>
      </w:r>
      <w:r w:rsidR="00CA4553">
        <w:t>s.</w:t>
      </w:r>
      <w:r w:rsidR="00C87EAE">
        <w:t xml:space="preserve">  In contrast to Royal, these districts are committed to enroll all students and to providing them with the academic support, services, and transportation they need to meet their unique challenges.</w:t>
      </w:r>
      <w:r w:rsidR="00C023E5">
        <w:br/>
      </w:r>
      <w:r w:rsidR="00C023E5">
        <w:br/>
      </w:r>
      <w:r w:rsidR="00C023E5" w:rsidRPr="00C023E5">
        <w:rPr>
          <w:sz w:val="18"/>
          <w:szCs w:val="18"/>
        </w:rPr>
        <w:t xml:space="preserve">Link to the Royal charter application:  </w:t>
      </w:r>
      <w:hyperlink r:id="rId5" w:history="1">
        <w:r w:rsidR="006106B3" w:rsidRPr="008015B4">
          <w:rPr>
            <w:rStyle w:val="Hyperlink"/>
            <w:sz w:val="18"/>
            <w:szCs w:val="18"/>
          </w:rPr>
          <w:t>http://castro.tea.state.tx.us/charter_apps/content/downloads/Nocdn/25-22.pdf</w:t>
        </w:r>
      </w:hyperlink>
      <w:r w:rsidR="006106B3">
        <w:rPr>
          <w:sz w:val="18"/>
          <w:szCs w:val="18"/>
        </w:rPr>
        <w:t xml:space="preserve"> </w:t>
      </w:r>
    </w:p>
    <w:sectPr w:rsidR="00C87EAE" w:rsidRPr="00C02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259C"/>
    <w:multiLevelType w:val="hybridMultilevel"/>
    <w:tmpl w:val="14B25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FA26C1"/>
    <w:multiLevelType w:val="hybridMultilevel"/>
    <w:tmpl w:val="00BC9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62"/>
    <w:rsid w:val="00012413"/>
    <w:rsid w:val="00097F8C"/>
    <w:rsid w:val="00101E72"/>
    <w:rsid w:val="00106D5C"/>
    <w:rsid w:val="001E2634"/>
    <w:rsid w:val="002223DF"/>
    <w:rsid w:val="002418F5"/>
    <w:rsid w:val="002903FF"/>
    <w:rsid w:val="002A7283"/>
    <w:rsid w:val="002B6B41"/>
    <w:rsid w:val="002C10CE"/>
    <w:rsid w:val="002D2C62"/>
    <w:rsid w:val="002D417F"/>
    <w:rsid w:val="00315793"/>
    <w:rsid w:val="00395680"/>
    <w:rsid w:val="003D6E4A"/>
    <w:rsid w:val="00415149"/>
    <w:rsid w:val="00454504"/>
    <w:rsid w:val="0045631D"/>
    <w:rsid w:val="00465743"/>
    <w:rsid w:val="005B68F9"/>
    <w:rsid w:val="005D3095"/>
    <w:rsid w:val="005D515E"/>
    <w:rsid w:val="006024F5"/>
    <w:rsid w:val="006106B3"/>
    <w:rsid w:val="006369DC"/>
    <w:rsid w:val="00676D2F"/>
    <w:rsid w:val="006B5774"/>
    <w:rsid w:val="006E0E14"/>
    <w:rsid w:val="00713D9C"/>
    <w:rsid w:val="00740B32"/>
    <w:rsid w:val="00754300"/>
    <w:rsid w:val="00757B5F"/>
    <w:rsid w:val="00840299"/>
    <w:rsid w:val="008748CC"/>
    <w:rsid w:val="008A57C2"/>
    <w:rsid w:val="008D3CC3"/>
    <w:rsid w:val="008E6D37"/>
    <w:rsid w:val="009211AD"/>
    <w:rsid w:val="00933083"/>
    <w:rsid w:val="009619ED"/>
    <w:rsid w:val="00965341"/>
    <w:rsid w:val="00985B44"/>
    <w:rsid w:val="00986678"/>
    <w:rsid w:val="009A28EE"/>
    <w:rsid w:val="009A3528"/>
    <w:rsid w:val="009B7494"/>
    <w:rsid w:val="009E2C97"/>
    <w:rsid w:val="009F081E"/>
    <w:rsid w:val="00AA1AA1"/>
    <w:rsid w:val="00AC56F7"/>
    <w:rsid w:val="00B104BF"/>
    <w:rsid w:val="00B2591A"/>
    <w:rsid w:val="00BF0142"/>
    <w:rsid w:val="00BF59C0"/>
    <w:rsid w:val="00C023E5"/>
    <w:rsid w:val="00C46462"/>
    <w:rsid w:val="00C87EAE"/>
    <w:rsid w:val="00CA4553"/>
    <w:rsid w:val="00CC5946"/>
    <w:rsid w:val="00CF270F"/>
    <w:rsid w:val="00DB4677"/>
    <w:rsid w:val="00E53259"/>
    <w:rsid w:val="00E764D2"/>
    <w:rsid w:val="00EB54D1"/>
    <w:rsid w:val="00F107BF"/>
    <w:rsid w:val="00F53448"/>
    <w:rsid w:val="00F61F42"/>
    <w:rsid w:val="00F97FC3"/>
    <w:rsid w:val="00FC561F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5F817"/>
  <w15:chartTrackingRefBased/>
  <w15:docId w15:val="{9C00DBF3-A1CA-4BDD-BAF4-067A0B26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15E"/>
    <w:pPr>
      <w:ind w:left="720"/>
      <w:contextualSpacing/>
    </w:pPr>
  </w:style>
  <w:style w:type="paragraph" w:styleId="NoSpacing">
    <w:name w:val="No Spacing"/>
    <w:uiPriority w:val="1"/>
    <w:qFormat/>
    <w:rsid w:val="005D515E"/>
    <w:pPr>
      <w:spacing w:after="0" w:line="240" w:lineRule="auto"/>
    </w:pPr>
  </w:style>
  <w:style w:type="table" w:styleId="TableGrid">
    <w:name w:val="Table Grid"/>
    <w:basedOn w:val="TableNormal"/>
    <w:uiPriority w:val="39"/>
    <w:rsid w:val="0041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06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stro.tea.state.tx.us/charter_apps/content/downloads/Nocdn/25-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Ellen Williams</cp:lastModifiedBy>
  <cp:revision>2</cp:revision>
  <cp:lastPrinted>2020-09-03T22:18:00Z</cp:lastPrinted>
  <dcterms:created xsi:type="dcterms:W3CDTF">2020-09-05T20:51:00Z</dcterms:created>
  <dcterms:modified xsi:type="dcterms:W3CDTF">2020-09-05T20:51:00Z</dcterms:modified>
</cp:coreProperties>
</file>